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/>
          <w:b/>
          <w:sz w:val="28"/>
        </w:rPr>
      </w:pPr>
      <w:r/>
      <w:bookmarkStart w:id="1" w:name="_GoBack"/>
      <w:r>
        <w:rPr>
          <w:rFonts w:ascii="Times New Roman" w:hAnsi="Times New Roman"/>
          <w:b/>
          <w:sz w:val="28"/>
        </w:rPr>
        <w:t xml:space="preserve">Информация о планируемых, проводимых и проведённых конкурсах на право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заключения концессионных соглашений и соглашений о ГЧП/МЧП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на региональном и муниципальном уровнях</w:t>
      </w:r>
      <w:r>
        <w:rPr>
          <w:rFonts w:ascii="Times New Roman" w:hAnsi="Times New Roman"/>
          <w:b/>
          <w:sz w:val="28"/>
        </w:rPr>
        <w:t xml:space="preserve">, а также </w:t>
      </w:r>
      <w:r>
        <w:rPr>
          <w:rFonts w:ascii="Times New Roman" w:hAnsi="Times New Roman"/>
          <w:b/>
          <w:sz w:val="28"/>
        </w:rPr>
        <w:t xml:space="preserve">об инициируемых на региональном и муниципальном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уровнях концессионных соглашениях и соглашениях о ГЧП/МЧП с указанием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ссылок</w:t>
      </w:r>
      <w:bookmarkEnd w:id="1"/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Планируемые:</w:t>
      </w:r>
      <w:r>
        <w:rPr>
          <w:rFonts w:ascii="Times New Roman" w:hAnsi="Times New Roman"/>
          <w:sz w:val="28"/>
        </w:rPr>
        <w:t xml:space="preserve"> отсутствуют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</w:rPr>
        <w:t xml:space="preserve">Проводимые: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855"/>
        <w:numPr>
          <w:ilvl w:val="0"/>
          <w:numId w:val="1"/>
        </w:numPr>
        <w:suppressLineNumbers w:val="false"/>
        <w:pBdr/>
        <w:spacing/>
        <w:ind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green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white"/>
        </w:rPr>
        <w:t xml:space="preserve">Концессионное </w:t>
      </w:r>
      <w:r>
        <w:rPr>
          <w:rFonts w:ascii="Times New Roman" w:hAnsi="Times New Roman"/>
          <w:sz w:val="28"/>
          <w:highlight w:val="white"/>
        </w:rPr>
        <w:t xml:space="preserve">соглашение, инициированное в порядке частной инициативы, в отношении</w:t>
      </w:r>
      <w:r/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комплектной</w:t>
      </w:r>
      <w:r>
        <w:rPr>
          <w:rFonts w:ascii="Times New Roman" w:hAnsi="Times New Roman"/>
          <w:sz w:val="28"/>
          <w:highlight w:val="none"/>
        </w:rPr>
        <w:t xml:space="preserve">, автоматизированной, блочно-модульной котельни МК-3,5 и тепловых сетей.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uppressLineNumbers w:val="false"/>
        <w:pBdr/>
        <w:spacing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  <w:hyperlink r:id="rId9" w:tooltip="https://torgi.gov.ru/new/public/lots/lot/21000031690000000115_1/(lotInfo:info)?fromRec=false" w:history="1">
        <w:r>
          <w:rPr>
            <w:rStyle w:val="861"/>
            <w:rFonts w:ascii="Times New Roman" w:hAnsi="Times New Roman"/>
            <w:sz w:val="28"/>
            <w:highlight w:val="white"/>
          </w:rPr>
          <w:t xml:space="preserve">https://torgi.gov.ru/new/public/lots/lot/21000031690000000115_1/(lotInfo:info)?fromRec=false</w:t>
        </w:r>
        <w:r>
          <w:rPr>
            <w:rStyle w:val="861"/>
            <w:rFonts w:ascii="Times New Roman" w:hAnsi="Times New Roman"/>
            <w:sz w:val="28"/>
            <w:highlight w:val="white"/>
          </w:rPr>
        </w:r>
      </w:hyperlink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</w:r>
      <w:r>
        <w:rPr>
          <w:highlight w:val="white"/>
        </w:rPr>
      </w:r>
    </w:p>
    <w:p>
      <w:pPr>
        <w:pBdr/>
        <w:spacing/>
        <w:ind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Проведённые: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suppressLineNumbers w:val="false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</w:rPr>
        <w:t xml:space="preserve">Концессионное соглашение о создании, реконструкции и эксплуатации объект</w:t>
      </w:r>
      <w:r>
        <w:rPr>
          <w:rFonts w:ascii="Times New Roman" w:hAnsi="Times New Roman"/>
          <w:sz w:val="28"/>
        </w:rPr>
        <w:t xml:space="preserve">о</w:t>
      </w:r>
      <w:r>
        <w:rPr>
          <w:rFonts w:ascii="Times New Roman" w:hAnsi="Times New Roman"/>
          <w:sz w:val="28"/>
        </w:rPr>
        <w:t xml:space="preserve">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 в муниципальном образовании городской округ город Липецк Липецкой области.*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</w:p>
    <w:p>
      <w:pPr>
        <w:suppressLineNumbers w:val="false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Концессионное соглашение в отношении объекта социально-бытового обслуживания граждан - здания бани, расположенного по адресу: г. Липецк, ул. 40 лет Октября, д. 4.*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uppressLineNumbers w:val="false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3) Реконструкция объектов системы теплоснабжения, расположенной по адресу: Липецкая область, Елецкий район, </w:t>
      </w: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8"/>
        </w:rPr>
        <w:t xml:space="preserve">.К</w:t>
      </w:r>
      <w:r>
        <w:rPr>
          <w:rFonts w:ascii="Times New Roman" w:hAnsi="Times New Roman"/>
          <w:sz w:val="28"/>
        </w:rPr>
        <w:t xml:space="preserve">азаки*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uppressLineNumbers w:val="false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4) Здание спортивного зала со встроенными помещениями*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uppressLineNumbers w:val="false"/>
        <w:pBdr/>
        <w:spacing w:after="198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Реконструкция муниципальных котельных 5 котельных - школы и д/сады*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uppressLineNumbers w:val="false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Реконструкция муниципальных котельных 7 котельных - школы и д/сады*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uppressLineNumbers w:val="false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Строительство спортивного зала со встроенными вспомогательными помещениями в г. Липецке по ул. </w:t>
      </w:r>
      <w:r>
        <w:rPr>
          <w:rFonts w:ascii="Times New Roman" w:hAnsi="Times New Roman"/>
          <w:sz w:val="28"/>
        </w:rPr>
        <w:t xml:space="preserve">Моршанская</w:t>
      </w:r>
      <w:r>
        <w:rPr>
          <w:rFonts w:ascii="Times New Roman" w:hAnsi="Times New Roman"/>
          <w:sz w:val="28"/>
        </w:rPr>
        <w:t xml:space="preserve">, д. 22А*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uppressLineNumbers w:val="false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Реконструкция объекта социально-бытового обслуживания граждан (бани), расположенного по адресу: г. Липецк, ул. </w:t>
      </w:r>
      <w:r>
        <w:rPr>
          <w:rFonts w:ascii="Times New Roman" w:hAnsi="Times New Roman"/>
          <w:sz w:val="28"/>
        </w:rPr>
        <w:t xml:space="preserve">Неделина</w:t>
      </w:r>
      <w:r>
        <w:rPr>
          <w:rFonts w:ascii="Times New Roman" w:hAnsi="Times New Roman"/>
          <w:sz w:val="28"/>
        </w:rPr>
        <w:t xml:space="preserve">, д. 22*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uppressLineNumbers w:val="false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Спортивно-оздоровительный комплекс "Большая Медведица"*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uppressLineNumbers w:val="false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10) Реконструкция здания бани*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uppressLineNumbers w:val="false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11) </w:t>
      </w:r>
      <w:r>
        <w:rPr>
          <w:rFonts w:ascii="Times New Roman" w:hAnsi="Times New Roman"/>
          <w:sz w:val="28"/>
        </w:rPr>
        <w:t xml:space="preserve">Создание и реконструкция котельных, тепловых сетей и осуществление производства, передачу, распределение тепловой энергии, горячего водоснабжения потребителю*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uppressLineNumbers w:val="false"/>
        <w:pBdr/>
        <w:spacing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12) Передача в концессию: реконструкция здания бани в с. </w:t>
      </w:r>
      <w:r>
        <w:rPr>
          <w:rFonts w:ascii="Times New Roman" w:hAnsi="Times New Roman"/>
          <w:sz w:val="28"/>
        </w:rPr>
        <w:t xml:space="preserve">Доброе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Добровского</w:t>
      </w:r>
      <w:r>
        <w:rPr>
          <w:rFonts w:ascii="Times New Roman" w:hAnsi="Times New Roman"/>
          <w:sz w:val="28"/>
        </w:rPr>
        <w:t xml:space="preserve"> муниципального района*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uppressLineNumbers w:val="false"/>
        <w:pBdr/>
        <w:spacing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13)</w:t>
      </w:r>
      <w:r>
        <w:rPr>
          <w:rFonts w:ascii="Times New Roman" w:hAnsi="Times New Roman"/>
          <w:sz w:val="28"/>
          <w:highlight w:val="white"/>
        </w:rPr>
        <w:t xml:space="preserve"> Концессионное соглашение в </w:t>
      </w:r>
      <w:r>
        <w:rPr>
          <w:rFonts w:ascii="Times New Roman" w:hAnsi="Times New Roman"/>
          <w:sz w:val="28"/>
          <w:highlight w:val="white"/>
        </w:rPr>
        <w:t xml:space="preserve">отношении создания полигона для захоронения твердых бытовых отходов в г. </w:t>
      </w:r>
      <w:r>
        <w:rPr>
          <w:rFonts w:ascii="Times New Roman" w:hAnsi="Times New Roman"/>
          <w:sz w:val="28"/>
          <w:highlight w:val="white"/>
        </w:rPr>
        <w:t xml:space="preserve">Липецке (IV очередь строительства) 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false"/>
        <w:pBdr/>
        <w:spacing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14) </w:t>
      </w:r>
      <w:r>
        <w:rPr>
          <w:rFonts w:ascii="Times New Roman" w:hAnsi="Times New Roman"/>
          <w:sz w:val="28"/>
          <w:highlight w:val="white"/>
        </w:rPr>
        <w:t xml:space="preserve">Концессионное </w:t>
      </w:r>
      <w:r>
        <w:rPr>
          <w:rFonts w:ascii="Times New Roman" w:hAnsi="Times New Roman"/>
          <w:sz w:val="28"/>
          <w:highlight w:val="white"/>
        </w:rPr>
        <w:t xml:space="preserve">соглашение, инициированное в порядке частной инициативы, в отношении </w:t>
      </w:r>
      <w:r>
        <w:rPr>
          <w:rFonts w:ascii="Times New Roman" w:hAnsi="Times New Roman"/>
          <w:sz w:val="28"/>
          <w:highlight w:val="white"/>
        </w:rPr>
        <w:t xml:space="preserve">систем коммунальной инфраструктуры и иных объектов коммунального </w:t>
      </w:r>
      <w:r>
        <w:rPr>
          <w:rFonts w:ascii="Times New Roman" w:hAnsi="Times New Roman"/>
          <w:sz w:val="28"/>
          <w:highlight w:val="white"/>
        </w:rPr>
        <w:t xml:space="preserve">хозяйства, в том числе объектов теплоснабжения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false"/>
        <w:pBdr/>
        <w:spacing/>
        <w:ind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</w:r>
      <w:hyperlink r:id="rId10" w:tooltip="https://torgi.gov.ru/new/public/lots/lot/22000042360000000034_1/(lotInfo:info)?fromRec=false" w:history="1">
        <w:r>
          <w:rPr>
            <w:rStyle w:val="861"/>
            <w:rFonts w:ascii="Times New Roman" w:hAnsi="Times New Roman"/>
            <w:sz w:val="28"/>
            <w:highlight w:val="white"/>
          </w:rPr>
          <w:t xml:space="preserve">https://torgi.gov.ru/new/public/lots/lot/22000042360000000034_1/(lotInfo:info)?fr</w:t>
        </w:r>
        <w:r>
          <w:rPr>
            <w:rStyle w:val="861"/>
            <w:rFonts w:ascii="Times New Roman" w:hAnsi="Times New Roman"/>
            <w:sz w:val="28"/>
            <w:highlight w:val="white"/>
          </w:rPr>
          <w:t xml:space="preserve">omRec=false</w:t>
        </w:r>
      </w:hyperlink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false"/>
        <w:pBdr/>
        <w:spacing/>
        <w:ind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15) </w:t>
      </w:r>
      <w:r>
        <w:rPr>
          <w:rFonts w:ascii="Times New Roman" w:hAnsi="Times New Roman"/>
          <w:sz w:val="28"/>
          <w:highlight w:val="white"/>
        </w:rPr>
        <w:t xml:space="preserve">Концессионное </w:t>
      </w:r>
      <w:r>
        <w:rPr>
          <w:rFonts w:ascii="Times New Roman" w:hAnsi="Times New Roman"/>
          <w:sz w:val="28"/>
          <w:highlight w:val="white"/>
        </w:rPr>
        <w:t xml:space="preserve">соглашение, инициированное в порядке частной инициативы, в отношении</w:t>
      </w:r>
      <w:r/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создания, реконструкции и эксплуатации отдельных объектов централизованной системы водоотведения города Липецка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suppressLineNumbers w:val="false"/>
        <w:pBdr/>
        <w:spacing/>
        <w:ind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hyperlink r:id="rId11" w:tooltip="https://torgi.gov.ru/new/public/lots/lot/22000190450000000002_1/(lotInfo:info)?fromRec=false" w:history="1">
        <w:r>
          <w:rPr>
            <w:rStyle w:val="861"/>
            <w:rFonts w:ascii="Times New Roman" w:hAnsi="Times New Roman"/>
            <w:sz w:val="28"/>
            <w:highlight w:val="none"/>
          </w:rPr>
          <w:t xml:space="preserve">https://torgi.gov.ru/new/public/lots/lot/22000190450000000002_1/(lotInfo:info)?fromRec=false</w:t>
        </w:r>
        <w:r>
          <w:rPr>
            <w:rStyle w:val="861"/>
            <w:rFonts w:ascii="Times New Roman" w:hAnsi="Times New Roman"/>
            <w:sz w:val="28"/>
            <w:highlight w:val="none"/>
          </w:rPr>
        </w:r>
        <w:r>
          <w:rPr>
            <w:rStyle w:val="861"/>
            <w:rFonts w:ascii="Times New Roman" w:hAnsi="Times New Roman"/>
            <w:sz w:val="28"/>
            <w:highlight w:val="none"/>
          </w:rPr>
        </w:r>
      </w:hyperlink>
      <w:r>
        <w:rPr>
          <w:rFonts w:ascii="Times New Roman" w:hAnsi="Times New Roman"/>
          <w:sz w:val="28"/>
          <w:highlight w:val="none"/>
        </w:rPr>
      </w:r>
    </w:p>
    <w:p>
      <w:pPr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  <w:t xml:space="preserve">* Конкурсная документация размещалась на старой версии сайта </w:t>
      </w:r>
      <w:r>
        <w:rPr>
          <w:rFonts w:ascii="Times New Roman" w:hAnsi="Times New Roman"/>
          <w:sz w:val="28"/>
          <w:highlight w:val="none"/>
        </w:rPr>
      </w:r>
      <w:hyperlink r:id="rId12" w:tooltip="https://torgi.gov.ru/new/public" w:history="1">
        <w:r>
          <w:rPr>
            <w:rStyle w:val="861"/>
            <w:rFonts w:ascii="Times New Roman" w:hAnsi="Times New Roman"/>
            <w:sz w:val="28"/>
            <w:highlight w:val="none"/>
          </w:rPr>
          <w:t xml:space="preserve">https://torgi.gov.ru/new/public</w:t>
        </w:r>
        <w:r>
          <w:rPr>
            <w:rStyle w:val="861"/>
            <w:rFonts w:ascii="Times New Roman" w:hAnsi="Times New Roman"/>
            <w:sz w:val="28"/>
            <w:highlight w:val="none"/>
          </w:rPr>
        </w:r>
      </w:hyperlink>
      <w:r>
        <w:rPr>
          <w:rFonts w:ascii="Times New Roman" w:hAnsi="Times New Roman"/>
          <w:sz w:val="28"/>
          <w:highlight w:val="none"/>
        </w:rPr>
        <w:t xml:space="preserve">, обслуживание которой прекращено.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4">
    <w:name w:val="Heading 6"/>
    <w:basedOn w:val="837"/>
    <w:next w:val="837"/>
    <w:link w:val="80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5">
    <w:name w:val="Heading 7"/>
    <w:basedOn w:val="837"/>
    <w:next w:val="837"/>
    <w:link w:val="80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6">
    <w:name w:val="Heading 8"/>
    <w:basedOn w:val="837"/>
    <w:next w:val="837"/>
    <w:link w:val="80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7">
    <w:name w:val="Heading 9"/>
    <w:basedOn w:val="837"/>
    <w:next w:val="837"/>
    <w:link w:val="80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798" w:default="1">
    <w:name w:val="No List"/>
    <w:uiPriority w:val="99"/>
    <w:semiHidden/>
    <w:unhideWhenUsed/>
    <w:pPr>
      <w:pBdr/>
      <w:spacing/>
      <w:ind/>
    </w:pPr>
  </w:style>
  <w:style w:type="character" w:styleId="799">
    <w:name w:val="Heading 1 Char"/>
    <w:basedOn w:val="845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0">
    <w:name w:val="Heading 2 Char"/>
    <w:basedOn w:val="845"/>
    <w:link w:val="8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1">
    <w:name w:val="Heading 3 Char"/>
    <w:basedOn w:val="845"/>
    <w:link w:val="8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2">
    <w:name w:val="Heading 4 Char"/>
    <w:basedOn w:val="845"/>
    <w:link w:val="87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3">
    <w:name w:val="Heading 5 Char"/>
    <w:basedOn w:val="845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4">
    <w:name w:val="Heading 6 Char"/>
    <w:basedOn w:val="845"/>
    <w:link w:val="79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5">
    <w:name w:val="Heading 7 Char"/>
    <w:basedOn w:val="845"/>
    <w:link w:val="79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6">
    <w:name w:val="Heading 8 Char"/>
    <w:basedOn w:val="845"/>
    <w:link w:val="79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7">
    <w:name w:val="Heading 9 Char"/>
    <w:basedOn w:val="845"/>
    <w:link w:val="79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8">
    <w:name w:val="Title Char"/>
    <w:basedOn w:val="845"/>
    <w:link w:val="87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09">
    <w:name w:val="Subtitle Char"/>
    <w:basedOn w:val="845"/>
    <w:link w:val="87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0">
    <w:name w:val="Quote"/>
    <w:basedOn w:val="837"/>
    <w:next w:val="837"/>
    <w:link w:val="81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1">
    <w:name w:val="Quote Char"/>
    <w:basedOn w:val="845"/>
    <w:link w:val="81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2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3">
    <w:name w:val="Intense Quote"/>
    <w:basedOn w:val="837"/>
    <w:next w:val="837"/>
    <w:link w:val="81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4">
    <w:name w:val="Intense Quote Char"/>
    <w:basedOn w:val="845"/>
    <w:link w:val="81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5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16">
    <w:name w:val="No Spacing"/>
    <w:basedOn w:val="837"/>
    <w:uiPriority w:val="1"/>
    <w:qFormat/>
    <w:pPr>
      <w:pBdr/>
      <w:spacing w:after="0" w:line="240" w:lineRule="auto"/>
      <w:ind/>
    </w:pPr>
  </w:style>
  <w:style w:type="character" w:styleId="817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18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19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20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1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2">
    <w:name w:val="Header"/>
    <w:basedOn w:val="837"/>
    <w:link w:val="82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3">
    <w:name w:val="Header Char"/>
    <w:basedOn w:val="845"/>
    <w:link w:val="822"/>
    <w:uiPriority w:val="99"/>
    <w:pPr>
      <w:pBdr/>
      <w:spacing/>
      <w:ind/>
    </w:pPr>
  </w:style>
  <w:style w:type="paragraph" w:styleId="824">
    <w:name w:val="Footer"/>
    <w:basedOn w:val="837"/>
    <w:link w:val="82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5">
    <w:name w:val="Footer Char"/>
    <w:basedOn w:val="845"/>
    <w:link w:val="824"/>
    <w:uiPriority w:val="99"/>
    <w:pPr>
      <w:pBdr/>
      <w:spacing/>
      <w:ind/>
    </w:pPr>
  </w:style>
  <w:style w:type="paragraph" w:styleId="826">
    <w:name w:val="Caption"/>
    <w:basedOn w:val="837"/>
    <w:next w:val="83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27">
    <w:name w:val="footnote text"/>
    <w:basedOn w:val="837"/>
    <w:link w:val="82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28">
    <w:name w:val="Footnote Text Char"/>
    <w:basedOn w:val="845"/>
    <w:link w:val="827"/>
    <w:uiPriority w:val="99"/>
    <w:semiHidden/>
    <w:pPr>
      <w:pBdr/>
      <w:spacing/>
      <w:ind/>
    </w:pPr>
    <w:rPr>
      <w:sz w:val="20"/>
      <w:szCs w:val="20"/>
    </w:rPr>
  </w:style>
  <w:style w:type="character" w:styleId="829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30">
    <w:name w:val="endnote text"/>
    <w:basedOn w:val="837"/>
    <w:link w:val="83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1">
    <w:name w:val="Endnote Text Char"/>
    <w:basedOn w:val="845"/>
    <w:link w:val="830"/>
    <w:uiPriority w:val="99"/>
    <w:semiHidden/>
    <w:pPr>
      <w:pBdr/>
      <w:spacing/>
      <w:ind/>
    </w:pPr>
    <w:rPr>
      <w:sz w:val="20"/>
      <w:szCs w:val="20"/>
    </w:rPr>
  </w:style>
  <w:style w:type="character" w:styleId="832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33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4">
    <w:name w:val="TOC Heading"/>
    <w:uiPriority w:val="39"/>
    <w:unhideWhenUsed/>
    <w:pPr>
      <w:pBdr/>
      <w:spacing/>
      <w:ind/>
    </w:pPr>
  </w:style>
  <w:style w:type="paragraph" w:styleId="835">
    <w:name w:val="table of figures"/>
    <w:basedOn w:val="837"/>
    <w:next w:val="837"/>
    <w:uiPriority w:val="99"/>
    <w:unhideWhenUsed/>
    <w:pPr>
      <w:pBdr/>
      <w:spacing w:after="0" w:afterAutospacing="0"/>
      <w:ind/>
    </w:pPr>
  </w:style>
  <w:style w:type="paragraph" w:styleId="836">
    <w:name w:val="Normal"/>
    <w:link w:val="837"/>
    <w:uiPriority w:val="0"/>
    <w:qFormat/>
    <w:pPr>
      <w:pBdr/>
      <w:spacing/>
      <w:ind/>
    </w:pPr>
  </w:style>
  <w:style w:type="character" w:styleId="837">
    <w:name w:val="Normal"/>
    <w:link w:val="836"/>
    <w:pPr>
      <w:pBdr/>
      <w:spacing/>
      <w:ind/>
    </w:pPr>
  </w:style>
  <w:style w:type="paragraph" w:styleId="838">
    <w:name w:val="toc 2"/>
    <w:next w:val="836"/>
    <w:link w:val="839"/>
    <w:uiPriority w:val="39"/>
    <w:pPr>
      <w:pBdr/>
      <w:spacing/>
      <w:ind w:firstLine="0" w:left="200"/>
      <w:jc w:val="left"/>
    </w:pPr>
    <w:rPr>
      <w:rFonts w:ascii="XO Thames" w:hAnsi="XO Thames"/>
      <w:sz w:val="28"/>
    </w:rPr>
  </w:style>
  <w:style w:type="character" w:styleId="839">
    <w:name w:val="toc 2"/>
    <w:link w:val="838"/>
    <w:pPr>
      <w:pBdr/>
      <w:spacing/>
      <w:ind/>
    </w:pPr>
    <w:rPr>
      <w:rFonts w:ascii="XO Thames" w:hAnsi="XO Thames"/>
      <w:sz w:val="28"/>
    </w:rPr>
  </w:style>
  <w:style w:type="paragraph" w:styleId="840">
    <w:name w:val="toc 4"/>
    <w:next w:val="836"/>
    <w:link w:val="841"/>
    <w:uiPriority w:val="39"/>
    <w:pPr>
      <w:pBdr/>
      <w:spacing/>
      <w:ind w:firstLine="0" w:left="600"/>
      <w:jc w:val="left"/>
    </w:pPr>
    <w:rPr>
      <w:rFonts w:ascii="XO Thames" w:hAnsi="XO Thames"/>
      <w:sz w:val="28"/>
    </w:rPr>
  </w:style>
  <w:style w:type="character" w:styleId="841">
    <w:name w:val="toc 4"/>
    <w:link w:val="840"/>
    <w:pPr>
      <w:pBdr/>
      <w:spacing/>
      <w:ind/>
    </w:pPr>
    <w:rPr>
      <w:rFonts w:ascii="XO Thames" w:hAnsi="XO Thames"/>
      <w:sz w:val="28"/>
    </w:rPr>
  </w:style>
  <w:style w:type="paragraph" w:styleId="842">
    <w:name w:val="toc 6"/>
    <w:next w:val="836"/>
    <w:link w:val="843"/>
    <w:uiPriority w:val="39"/>
    <w:pPr>
      <w:pBdr/>
      <w:spacing/>
      <w:ind w:firstLine="0" w:left="1000"/>
      <w:jc w:val="left"/>
    </w:pPr>
    <w:rPr>
      <w:rFonts w:ascii="XO Thames" w:hAnsi="XO Thames"/>
      <w:sz w:val="28"/>
    </w:rPr>
  </w:style>
  <w:style w:type="character" w:styleId="843">
    <w:name w:val="toc 6"/>
    <w:link w:val="842"/>
    <w:pPr>
      <w:pBdr/>
      <w:spacing/>
      <w:ind/>
    </w:pPr>
    <w:rPr>
      <w:rFonts w:ascii="XO Thames" w:hAnsi="XO Thames"/>
      <w:sz w:val="28"/>
    </w:rPr>
  </w:style>
  <w:style w:type="paragraph" w:styleId="844">
    <w:name w:val="Default Paragraph Font"/>
    <w:link w:val="845"/>
    <w:pPr>
      <w:pBdr/>
      <w:spacing/>
      <w:ind/>
    </w:pPr>
  </w:style>
  <w:style w:type="character" w:styleId="845">
    <w:name w:val="Default Paragraph Font"/>
    <w:link w:val="844"/>
    <w:pPr>
      <w:pBdr/>
      <w:spacing/>
      <w:ind/>
    </w:pPr>
  </w:style>
  <w:style w:type="paragraph" w:styleId="846">
    <w:name w:val="toc 7"/>
    <w:next w:val="836"/>
    <w:link w:val="847"/>
    <w:uiPriority w:val="39"/>
    <w:pPr>
      <w:pBdr/>
      <w:spacing/>
      <w:ind w:firstLine="0" w:left="1200"/>
      <w:jc w:val="left"/>
    </w:pPr>
    <w:rPr>
      <w:rFonts w:ascii="XO Thames" w:hAnsi="XO Thames"/>
      <w:sz w:val="28"/>
    </w:rPr>
  </w:style>
  <w:style w:type="character" w:styleId="847">
    <w:name w:val="toc 7"/>
    <w:link w:val="846"/>
    <w:pPr>
      <w:pBdr/>
      <w:spacing/>
      <w:ind/>
    </w:pPr>
    <w:rPr>
      <w:rFonts w:ascii="XO Thames" w:hAnsi="XO Thames"/>
      <w:sz w:val="28"/>
    </w:rPr>
  </w:style>
  <w:style w:type="paragraph" w:styleId="848">
    <w:name w:val="Endnote"/>
    <w:link w:val="849"/>
    <w:pPr>
      <w:pBdr/>
      <w:spacing/>
      <w:ind w:firstLine="851" w:left="0"/>
      <w:jc w:val="both"/>
    </w:pPr>
    <w:rPr>
      <w:rFonts w:ascii="XO Thames" w:hAnsi="XO Thames"/>
      <w:sz w:val="22"/>
    </w:rPr>
  </w:style>
  <w:style w:type="character" w:styleId="849">
    <w:name w:val="Endnote"/>
    <w:link w:val="848"/>
    <w:pPr>
      <w:pBdr/>
      <w:spacing/>
      <w:ind/>
    </w:pPr>
    <w:rPr>
      <w:rFonts w:ascii="XO Thames" w:hAnsi="XO Thames"/>
      <w:sz w:val="22"/>
    </w:rPr>
  </w:style>
  <w:style w:type="paragraph" w:styleId="850">
    <w:name w:val="Heading 3"/>
    <w:next w:val="836"/>
    <w:link w:val="851"/>
    <w:uiPriority w:val="9"/>
    <w:qFormat/>
    <w:pPr>
      <w:pBdr/>
      <w:spacing w:after="120" w:before="120"/>
      <w:ind/>
      <w:jc w:val="both"/>
      <w:outlineLvl w:val="2"/>
    </w:pPr>
    <w:rPr>
      <w:rFonts w:ascii="XO Thames" w:hAnsi="XO Thames"/>
      <w:b/>
      <w:sz w:val="26"/>
    </w:rPr>
  </w:style>
  <w:style w:type="character" w:styleId="851">
    <w:name w:val="Heading 3"/>
    <w:link w:val="850"/>
    <w:pPr>
      <w:pBdr/>
      <w:spacing/>
      <w:ind/>
    </w:pPr>
    <w:rPr>
      <w:rFonts w:ascii="XO Thames" w:hAnsi="XO Thames"/>
      <w:b/>
      <w:sz w:val="26"/>
    </w:rPr>
  </w:style>
  <w:style w:type="paragraph" w:styleId="852">
    <w:name w:val="toc 3"/>
    <w:next w:val="836"/>
    <w:link w:val="853"/>
    <w:uiPriority w:val="39"/>
    <w:pPr>
      <w:pBdr/>
      <w:spacing/>
      <w:ind w:firstLine="0" w:left="400"/>
      <w:jc w:val="left"/>
    </w:pPr>
    <w:rPr>
      <w:rFonts w:ascii="XO Thames" w:hAnsi="XO Thames"/>
      <w:sz w:val="28"/>
    </w:rPr>
  </w:style>
  <w:style w:type="character" w:styleId="853">
    <w:name w:val="toc 3"/>
    <w:link w:val="852"/>
    <w:pPr>
      <w:pBdr/>
      <w:spacing/>
      <w:ind/>
    </w:pPr>
    <w:rPr>
      <w:rFonts w:ascii="XO Thames" w:hAnsi="XO Thames"/>
      <w:sz w:val="28"/>
    </w:rPr>
  </w:style>
  <w:style w:type="paragraph" w:styleId="854">
    <w:name w:val="List Paragraph"/>
    <w:basedOn w:val="836"/>
    <w:link w:val="855"/>
    <w:pPr>
      <w:pBdr/>
      <w:spacing/>
      <w:ind w:firstLine="0" w:left="720"/>
      <w:contextualSpacing w:val="true"/>
    </w:pPr>
  </w:style>
  <w:style w:type="character" w:styleId="855">
    <w:name w:val="List Paragraph"/>
    <w:basedOn w:val="837"/>
    <w:link w:val="854"/>
    <w:pPr>
      <w:pBdr/>
      <w:spacing/>
      <w:ind/>
    </w:pPr>
  </w:style>
  <w:style w:type="paragraph" w:styleId="856">
    <w:name w:val="Heading 5"/>
    <w:next w:val="836"/>
    <w:link w:val="857"/>
    <w:uiPriority w:val="9"/>
    <w:qFormat/>
    <w:pPr>
      <w:pBdr/>
      <w:spacing w:after="120" w:before="120"/>
      <w:ind/>
      <w:jc w:val="both"/>
      <w:outlineLvl w:val="4"/>
    </w:pPr>
    <w:rPr>
      <w:rFonts w:ascii="XO Thames" w:hAnsi="XO Thames"/>
      <w:b/>
      <w:sz w:val="22"/>
    </w:rPr>
  </w:style>
  <w:style w:type="character" w:styleId="857">
    <w:name w:val="Heading 5"/>
    <w:link w:val="856"/>
    <w:pPr>
      <w:pBdr/>
      <w:spacing/>
      <w:ind/>
    </w:pPr>
    <w:rPr>
      <w:rFonts w:ascii="XO Thames" w:hAnsi="XO Thames"/>
      <w:b/>
      <w:sz w:val="22"/>
    </w:rPr>
  </w:style>
  <w:style w:type="paragraph" w:styleId="858">
    <w:name w:val="Heading 1"/>
    <w:next w:val="836"/>
    <w:link w:val="859"/>
    <w:uiPriority w:val="9"/>
    <w:qFormat/>
    <w:pPr>
      <w:pBdr/>
      <w:spacing w:after="120" w:before="120"/>
      <w:ind/>
      <w:jc w:val="both"/>
      <w:outlineLvl w:val="0"/>
    </w:pPr>
    <w:rPr>
      <w:rFonts w:ascii="XO Thames" w:hAnsi="XO Thames"/>
      <w:b/>
      <w:sz w:val="32"/>
    </w:rPr>
  </w:style>
  <w:style w:type="character" w:styleId="859">
    <w:name w:val="Heading 1"/>
    <w:link w:val="858"/>
    <w:pPr>
      <w:pBdr/>
      <w:spacing/>
      <w:ind/>
    </w:pPr>
    <w:rPr>
      <w:rFonts w:ascii="XO Thames" w:hAnsi="XO Thames"/>
      <w:b/>
      <w:sz w:val="32"/>
    </w:rPr>
  </w:style>
  <w:style w:type="paragraph" w:styleId="860">
    <w:name w:val="Hyperlink"/>
    <w:basedOn w:val="844"/>
    <w:link w:val="861"/>
    <w:pPr>
      <w:pBdr/>
      <w:spacing/>
      <w:ind/>
    </w:pPr>
    <w:rPr>
      <w:color w:val="0000ff" w:themeColor="hyperlink"/>
      <w:u w:val="single"/>
    </w:rPr>
  </w:style>
  <w:style w:type="character" w:styleId="861">
    <w:name w:val="Hyperlink"/>
    <w:basedOn w:val="845"/>
    <w:link w:val="860"/>
    <w:pPr>
      <w:pBdr/>
      <w:spacing/>
      <w:ind/>
    </w:pPr>
    <w:rPr>
      <w:color w:val="0000ff" w:themeColor="hyperlink"/>
      <w:u w:val="single"/>
    </w:rPr>
  </w:style>
  <w:style w:type="paragraph" w:styleId="862">
    <w:name w:val="Footnote"/>
    <w:link w:val="863"/>
    <w:pPr>
      <w:pBdr/>
      <w:spacing/>
      <w:ind w:firstLine="851" w:left="0"/>
      <w:jc w:val="both"/>
    </w:pPr>
    <w:rPr>
      <w:rFonts w:ascii="XO Thames" w:hAnsi="XO Thames"/>
      <w:sz w:val="22"/>
    </w:rPr>
  </w:style>
  <w:style w:type="character" w:styleId="863">
    <w:name w:val="Footnote"/>
    <w:link w:val="862"/>
    <w:pPr>
      <w:pBdr/>
      <w:spacing/>
      <w:ind/>
    </w:pPr>
    <w:rPr>
      <w:rFonts w:ascii="XO Thames" w:hAnsi="XO Thames"/>
      <w:sz w:val="22"/>
    </w:rPr>
  </w:style>
  <w:style w:type="paragraph" w:styleId="864">
    <w:name w:val="toc 1"/>
    <w:next w:val="836"/>
    <w:link w:val="865"/>
    <w:uiPriority w:val="39"/>
    <w:pPr>
      <w:pBdr/>
      <w:spacing/>
      <w:ind w:firstLine="0" w:left="0"/>
      <w:jc w:val="left"/>
    </w:pPr>
    <w:rPr>
      <w:rFonts w:ascii="XO Thames" w:hAnsi="XO Thames"/>
      <w:b/>
      <w:sz w:val="28"/>
    </w:rPr>
  </w:style>
  <w:style w:type="character" w:styleId="865">
    <w:name w:val="toc 1"/>
    <w:link w:val="864"/>
    <w:pPr>
      <w:pBdr/>
      <w:spacing/>
      <w:ind/>
    </w:pPr>
    <w:rPr>
      <w:rFonts w:ascii="XO Thames" w:hAnsi="XO Thames"/>
      <w:b/>
      <w:sz w:val="28"/>
    </w:rPr>
  </w:style>
  <w:style w:type="paragraph" w:styleId="866">
    <w:name w:val="Header and Footer"/>
    <w:link w:val="867"/>
    <w:pPr>
      <w:pBdr/>
      <w:spacing w:line="240" w:lineRule="auto"/>
      <w:ind/>
      <w:jc w:val="both"/>
    </w:pPr>
    <w:rPr>
      <w:rFonts w:ascii="XO Thames" w:hAnsi="XO Thames"/>
      <w:sz w:val="28"/>
    </w:rPr>
  </w:style>
  <w:style w:type="character" w:styleId="867">
    <w:name w:val="Header and Footer"/>
    <w:link w:val="866"/>
    <w:pPr>
      <w:pBdr/>
      <w:spacing/>
      <w:ind/>
    </w:pPr>
    <w:rPr>
      <w:rFonts w:ascii="XO Thames" w:hAnsi="XO Thames"/>
      <w:sz w:val="28"/>
    </w:rPr>
  </w:style>
  <w:style w:type="paragraph" w:styleId="868">
    <w:name w:val="toc 9"/>
    <w:next w:val="836"/>
    <w:link w:val="869"/>
    <w:uiPriority w:val="39"/>
    <w:pPr>
      <w:pBdr/>
      <w:spacing/>
      <w:ind w:firstLine="0" w:left="1600"/>
      <w:jc w:val="left"/>
    </w:pPr>
    <w:rPr>
      <w:rFonts w:ascii="XO Thames" w:hAnsi="XO Thames"/>
      <w:sz w:val="28"/>
    </w:rPr>
  </w:style>
  <w:style w:type="character" w:styleId="869">
    <w:name w:val="toc 9"/>
    <w:link w:val="868"/>
    <w:pPr>
      <w:pBdr/>
      <w:spacing/>
      <w:ind/>
    </w:pPr>
    <w:rPr>
      <w:rFonts w:ascii="XO Thames" w:hAnsi="XO Thames"/>
      <w:sz w:val="28"/>
    </w:rPr>
  </w:style>
  <w:style w:type="paragraph" w:styleId="870">
    <w:name w:val="toc 8"/>
    <w:next w:val="836"/>
    <w:link w:val="871"/>
    <w:uiPriority w:val="39"/>
    <w:pPr>
      <w:pBdr/>
      <w:spacing/>
      <w:ind w:firstLine="0" w:left="1400"/>
      <w:jc w:val="left"/>
    </w:pPr>
    <w:rPr>
      <w:rFonts w:ascii="XO Thames" w:hAnsi="XO Thames"/>
      <w:sz w:val="28"/>
    </w:rPr>
  </w:style>
  <w:style w:type="character" w:styleId="871">
    <w:name w:val="toc 8"/>
    <w:link w:val="870"/>
    <w:pPr>
      <w:pBdr/>
      <w:spacing/>
      <w:ind/>
    </w:pPr>
    <w:rPr>
      <w:rFonts w:ascii="XO Thames" w:hAnsi="XO Thames"/>
      <w:sz w:val="28"/>
    </w:rPr>
  </w:style>
  <w:style w:type="paragraph" w:styleId="872">
    <w:name w:val="toc 5"/>
    <w:next w:val="836"/>
    <w:link w:val="873"/>
    <w:uiPriority w:val="39"/>
    <w:pPr>
      <w:pBdr/>
      <w:spacing/>
      <w:ind w:firstLine="0" w:left="800"/>
      <w:jc w:val="left"/>
    </w:pPr>
    <w:rPr>
      <w:rFonts w:ascii="XO Thames" w:hAnsi="XO Thames"/>
      <w:sz w:val="28"/>
    </w:rPr>
  </w:style>
  <w:style w:type="character" w:styleId="873">
    <w:name w:val="toc 5"/>
    <w:link w:val="872"/>
    <w:pPr>
      <w:pBdr/>
      <w:spacing/>
      <w:ind/>
    </w:pPr>
    <w:rPr>
      <w:rFonts w:ascii="XO Thames" w:hAnsi="XO Thames"/>
      <w:sz w:val="28"/>
    </w:rPr>
  </w:style>
  <w:style w:type="paragraph" w:styleId="874">
    <w:name w:val="Subtitle"/>
    <w:next w:val="836"/>
    <w:link w:val="875"/>
    <w:uiPriority w:val="11"/>
    <w:qFormat/>
    <w:pPr>
      <w:pBdr/>
      <w:spacing/>
      <w:ind/>
      <w:jc w:val="both"/>
    </w:pPr>
    <w:rPr>
      <w:rFonts w:ascii="XO Thames" w:hAnsi="XO Thames"/>
      <w:i/>
      <w:sz w:val="24"/>
    </w:rPr>
  </w:style>
  <w:style w:type="character" w:styleId="875">
    <w:name w:val="Subtitle"/>
    <w:link w:val="874"/>
    <w:pPr>
      <w:pBdr/>
      <w:spacing/>
      <w:ind/>
    </w:pPr>
    <w:rPr>
      <w:rFonts w:ascii="XO Thames" w:hAnsi="XO Thames"/>
      <w:i/>
      <w:sz w:val="24"/>
    </w:rPr>
  </w:style>
  <w:style w:type="paragraph" w:styleId="876">
    <w:name w:val="Title"/>
    <w:next w:val="836"/>
    <w:link w:val="877"/>
    <w:uiPriority w:val="10"/>
    <w:qFormat/>
    <w:pPr>
      <w:pBdr/>
      <w:spacing w:after="567" w:before="567"/>
      <w:ind/>
      <w:jc w:val="center"/>
    </w:pPr>
    <w:rPr>
      <w:rFonts w:ascii="XO Thames" w:hAnsi="XO Thames"/>
      <w:b/>
      <w:caps/>
      <w:sz w:val="40"/>
    </w:rPr>
  </w:style>
  <w:style w:type="character" w:styleId="877">
    <w:name w:val="Title"/>
    <w:link w:val="876"/>
    <w:pPr>
      <w:pBdr/>
      <w:spacing/>
      <w:ind/>
    </w:pPr>
    <w:rPr>
      <w:rFonts w:ascii="XO Thames" w:hAnsi="XO Thames"/>
      <w:b/>
      <w:caps/>
      <w:sz w:val="40"/>
    </w:rPr>
  </w:style>
  <w:style w:type="paragraph" w:styleId="878">
    <w:name w:val="Heading 4"/>
    <w:next w:val="836"/>
    <w:link w:val="879"/>
    <w:uiPriority w:val="9"/>
    <w:qFormat/>
    <w:pPr>
      <w:pBdr/>
      <w:spacing w:after="120" w:before="120"/>
      <w:ind/>
      <w:jc w:val="both"/>
      <w:outlineLvl w:val="3"/>
    </w:pPr>
    <w:rPr>
      <w:rFonts w:ascii="XO Thames" w:hAnsi="XO Thames"/>
      <w:b/>
      <w:sz w:val="24"/>
    </w:rPr>
  </w:style>
  <w:style w:type="character" w:styleId="879">
    <w:name w:val="Heading 4"/>
    <w:link w:val="878"/>
    <w:pPr>
      <w:pBdr/>
      <w:spacing/>
      <w:ind/>
    </w:pPr>
    <w:rPr>
      <w:rFonts w:ascii="XO Thames" w:hAnsi="XO Thames"/>
      <w:b/>
      <w:sz w:val="24"/>
    </w:rPr>
  </w:style>
  <w:style w:type="paragraph" w:styleId="880">
    <w:name w:val="Heading 2"/>
    <w:next w:val="836"/>
    <w:link w:val="881"/>
    <w:uiPriority w:val="9"/>
    <w:qFormat/>
    <w:pPr>
      <w:pBdr/>
      <w:spacing w:after="120" w:before="120"/>
      <w:ind/>
      <w:jc w:val="both"/>
      <w:outlineLvl w:val="1"/>
    </w:pPr>
    <w:rPr>
      <w:rFonts w:ascii="XO Thames" w:hAnsi="XO Thames"/>
      <w:b/>
      <w:sz w:val="28"/>
    </w:rPr>
  </w:style>
  <w:style w:type="character" w:styleId="881">
    <w:name w:val="Heading 2"/>
    <w:link w:val="880"/>
    <w:pPr>
      <w:pBdr/>
      <w:spacing/>
      <w:ind/>
    </w:pPr>
    <w:rPr>
      <w:rFonts w:ascii="XO Thames" w:hAnsi="XO Thames"/>
      <w:b/>
      <w:sz w:val="28"/>
    </w:rPr>
  </w:style>
  <w:style w:type="table" w:styleId="882" w:default="1">
    <w:name w:val="Normal Table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torgi.gov.ru/new/public/lots/lot/21000031690000000115_1/(lotInfo:info)?fromRec=false" TargetMode="External"/><Relationship Id="rId10" Type="http://schemas.openxmlformats.org/officeDocument/2006/relationships/hyperlink" Target="https://torgi.gov.ru/new/public/lots/lot/22000042360000000034_1/(lotInfo:info)?fromRec=false" TargetMode="External"/><Relationship Id="rId11" Type="http://schemas.openxmlformats.org/officeDocument/2006/relationships/hyperlink" Target="https://torgi.gov.ru/new/public/lots/lot/22000190450000000002_1/(lotInfo:info)?fromRec=false" TargetMode="External"/><Relationship Id="rId12" Type="http://schemas.openxmlformats.org/officeDocument/2006/relationships/hyperlink" Target="https://torgi.gov.ru/new/publi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2025-01-23T13:12:27Z</dcterms:modified>
</cp:coreProperties>
</file>